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widowControl w:val="off"/>
        <w:spacing w:after="0" w:line="240" w:lineRule="auto"/>
        <w:ind w:firstLine="567"/>
        <w:jc w:val="both"/>
        <w:rPr>
          <w:rFonts w:ascii="Times New Roman" w:cs="Times New Roman" w:eastAsia="Impact" w:hAnsi="Times New Roman"/>
          <w:iCs/>
          <w:sz w:val="26"/>
          <w:szCs w:val="26"/>
        </w:rPr>
      </w:pPr>
      <w:r>
        <w:rPr>
          <w:rFonts w:ascii="Times New Roman" w:cs="Times New Roman" w:eastAsia="Impact" w:hAnsi="Times New Roman"/>
          <w:iCs/>
          <w:sz w:val="26"/>
          <w:szCs w:val="26"/>
        </w:rPr>
        <w:t xml:space="preserve">Рабочая программа учебной дисциплины разработана на основе: </w:t>
      </w:r>
    </w:p>
    <w:p w14:paraId="00000003">
      <w:pPr>
        <w:widowControl w:val="off"/>
        <w:spacing w:after="0" w:line="240" w:lineRule="auto"/>
        <w:ind w:firstLine="567"/>
        <w:jc w:val="both"/>
        <w:rPr>
          <w:rFonts w:ascii="Times New Roman" w:cs="Times New Roman" w:eastAsia="Impact" w:hAnsi="Times New Roman"/>
          <w:iCs/>
          <w:sz w:val="26"/>
          <w:szCs w:val="26"/>
        </w:rPr>
      </w:pPr>
      <w:r>
        <w:rPr>
          <w:rFonts w:ascii="Times New Roman" w:cs="Times New Roman" w:eastAsia="Impact" w:hAnsi="Times New Roman"/>
          <w:iCs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eastAsia="Impact" w:hAnsi="Times New Roman"/>
          <w:iCs/>
          <w:color w:val="000000"/>
          <w:sz w:val="26"/>
          <w:szCs w:val="26"/>
        </w:rPr>
        <w:t>;</w:t>
      </w:r>
    </w:p>
    <w:p w14:paraId="00000004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  <w:lang w:eastAsia="ar-SA"/>
        </w:rPr>
        <w:t xml:space="preserve">основной профессиональной образовательной программы 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shd w:val="clear" w:color="auto" w:fill="ffffff"/>
          <w:lang w:eastAsia="ar-SA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ar-SA"/>
        </w:rPr>
        <w:t>, 2024</w:t>
      </w:r>
      <w:r>
        <w:rPr>
          <w:rFonts w:ascii="Times New Roman" w:cs="Times New Roman" w:eastAsia="Times New Roman" w:hAnsi="Times New Roman"/>
          <w:sz w:val="26"/>
          <w:szCs w:val="26"/>
          <w:lang w:eastAsia="ar-SA"/>
        </w:rPr>
        <w:t>г.;</w:t>
      </w:r>
    </w:p>
    <w:p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ar-SA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  <w:lang w:eastAsia="ar-SA"/>
        </w:rPr>
        <w:t xml:space="preserve">по </w:t>
      </w:r>
      <w:r>
        <w:rPr>
          <w:rFonts w:ascii="Times New Roman" w:cs="Times New Roman" w:eastAsia="Times New Roman" w:hAnsi="Times New Roman"/>
          <w:sz w:val="26"/>
          <w:szCs w:val="26"/>
          <w:lang w:eastAsia="ar-SA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ar-SA"/>
        </w:rPr>
        <w:t xml:space="preserve">, </w:t>
      </w:r>
      <w:r>
        <w:rPr>
          <w:rFonts w:ascii="Times New Roman" w:cs="Times New Roman" w:eastAsia="Calibri" w:hAnsi="Times New Roman"/>
          <w:sz w:val="26"/>
          <w:szCs w:val="26"/>
          <w:lang w:eastAsia="ar-SA"/>
        </w:rPr>
        <w:t>2024 г.</w:t>
      </w:r>
    </w:p>
    <w:p w14:paraId="00000007">
      <w:pPr>
        <w:spacing w:after="0" w:line="240" w:lineRule="auto"/>
        <w:ind w:firstLine="426"/>
        <w:jc w:val="both"/>
        <w:rPr>
          <w:rFonts w:ascii="Times New Roman" w:cs="Times New Roman" w:eastAsia="Calibri" w:hAnsi="Times New Roman"/>
          <w:sz w:val="26"/>
          <w:szCs w:val="26"/>
          <w:u w:val="single"/>
        </w:rPr>
      </w:pPr>
    </w:p>
    <w:p w14:paraId="00000008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</w:rPr>
      </w:pPr>
    </w:p>
    <w:p w14:paraId="00000009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</w:rPr>
      </w:pPr>
    </w:p>
    <w:p w14:paraId="0000000A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  <w:u w:val="single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</w:rPr>
        <w:t>Организация - разработчик:</w:t>
      </w:r>
      <w:r>
        <w:rPr>
          <w:rFonts w:ascii="Times New Roman" w:cs="Times New Roman" w:eastAsia="Calibri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0000000B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br w:type="page"/>
      </w:r>
    </w:p>
    <w:p w14:paraId="0000000C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</w:tcPr>
          <w:p w14:paraId="0000000D">
            <w:pPr>
              <w:keepNext w:val="on"/>
              <w:spacing w:after="0" w:line="240" w:lineRule="auto"/>
              <w:ind w:left="284"/>
              <w:jc w:val="both"/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cnfStyle w:val="100000000000"/>
            <w:tcW w:w="1903" w:type="dxa"/>
          </w:tcPr>
          <w:p w14:paraId="0000000E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</w:tcPr>
          <w:p w14:paraId="0000000F">
            <w:pPr>
              <w:keepNext w:val="on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00000010">
            <w:pPr>
              <w:spacing w:after="0" w:line="240" w:lineRule="auto"/>
              <w:rPr>
                <w:rFonts w:ascii="Times New Roman" w:cs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cnfStyle w:val="000000100000"/>
            <w:tcW w:w="1903" w:type="dxa"/>
          </w:tcPr>
          <w:p w14:paraId="0000001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4</w:t>
            </w:r>
          </w:p>
        </w:tc>
      </w:tr>
      <w:tr>
        <w:trPr>
          <w:trHeight w:val="670"/>
        </w:trPr>
        <w:tc>
          <w:tcPr>
            <w:cnfStyle w:val="001000010000"/>
            <w:tcW w:w="7668" w:type="dxa"/>
          </w:tcPr>
          <w:p w14:paraId="00000012">
            <w:pPr>
              <w:keepNext w:val="on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00000013">
            <w:pPr>
              <w:spacing w:after="0" w:line="240" w:lineRule="auto"/>
              <w:rPr>
                <w:rFonts w:ascii="Times New Roman" w:cs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cnfStyle w:val="000000010000"/>
            <w:tcW w:w="1903" w:type="dxa"/>
          </w:tcPr>
          <w:p w14:paraId="00000014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5</w:t>
            </w:r>
          </w:p>
        </w:tc>
      </w:tr>
      <w:tr>
        <w:trPr/>
        <w:tc>
          <w:tcPr>
            <w:cnfStyle w:val="001000100000"/>
            <w:tcW w:w="7668" w:type="dxa"/>
          </w:tcPr>
          <w:p w14:paraId="00000015">
            <w:pPr>
              <w:keepNext w:val="on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00000016">
            <w:pPr>
              <w:spacing w:after="0" w:line="240" w:lineRule="auto"/>
              <w:rPr>
                <w:rFonts w:ascii="Times New Roman" w:cs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cnfStyle w:val="000000100000"/>
            <w:tcW w:w="1903" w:type="dxa"/>
          </w:tcPr>
          <w:p w14:paraId="0000001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11</w:t>
            </w:r>
          </w:p>
        </w:tc>
      </w:tr>
      <w:tr>
        <w:trPr/>
        <w:tc>
          <w:tcPr>
            <w:cnfStyle w:val="001000010000"/>
            <w:tcW w:w="7668" w:type="dxa"/>
          </w:tcPr>
          <w:p w14:paraId="00000018">
            <w:pPr>
              <w:keepNext w:val="on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00000019">
            <w:pPr>
              <w:keepNext w:val="on"/>
              <w:tabs>
                <w:tab w:val="num" w:pos="644"/>
              </w:tabs>
              <w:spacing w:after="0" w:line="240" w:lineRule="auto"/>
              <w:ind w:left="644" w:hanging="360"/>
              <w:jc w:val="both"/>
              <w:rPr>
                <w:rFonts w:ascii="Times New Roman" w:cs="Times New Roman" w:eastAsia="Times New Roman" w:hAnsi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cnfStyle w:val="000000010000"/>
            <w:tcW w:w="1903" w:type="dxa"/>
          </w:tcPr>
          <w:p w14:paraId="0000001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12</w:t>
            </w:r>
          </w:p>
        </w:tc>
      </w:tr>
    </w:tbl>
    <w:p w14:paraId="0000001B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  <w:u w:val="single"/>
        </w:rPr>
      </w:pPr>
    </w:p>
    <w:p w14:paraId="0000001C">
      <w:pPr>
        <w:rPr>
          <w:rFonts w:ascii="Times New Roman" w:cs="Times New Roman" w:eastAsia="Calibri" w:hAnsi="Times New Roman"/>
          <w:color w:val="000000"/>
          <w:sz w:val="26"/>
          <w:szCs w:val="26"/>
          <w:u w:val="single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  <w:u w:val="single"/>
        </w:rPr>
        <w:br w:type="page"/>
      </w:r>
    </w:p>
    <w:p w14:paraId="0000001D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center"/>
        <w:rPr>
          <w:rFonts w:ascii="Times New Roman" w:cs="Times New Roman" w:eastAsia="Calibri" w:hAnsi="Times New Roman"/>
          <w:b/>
          <w:caps/>
          <w:sz w:val="26"/>
          <w:szCs w:val="26"/>
        </w:rPr>
      </w:pPr>
      <w:r>
        <w:rPr>
          <w:rFonts w:ascii="Times New Roman" w:cs="Times New Roman" w:eastAsia="Calibri" w:hAnsi="Times New Roman"/>
          <w:b/>
          <w:caps/>
          <w:sz w:val="26"/>
          <w:szCs w:val="26"/>
        </w:rPr>
        <w:t>1. паспорТ ПРОГРАММЫ УЧЕБНОЙ ДИСЦИПЛИНЫ</w:t>
      </w:r>
    </w:p>
    <w:p w14:paraId="0000001E">
      <w:pPr>
        <w:spacing w:after="0" w:line="240" w:lineRule="auto"/>
        <w:ind w:firstLine="624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ОУД.15 Основы проектной деятельности</w:t>
      </w:r>
    </w:p>
    <w:p w14:paraId="0000001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1.1. Область применения рабочей программы</w:t>
      </w:r>
    </w:p>
    <w:p w14:paraId="00000020">
      <w:pPr>
        <w:spacing w:after="0"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>;</w:t>
      </w:r>
    </w:p>
    <w:p w14:paraId="00000021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color w:val="000000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cs="Times New Roman" w:eastAsia="Calibri" w:hAnsi="Times New Roman"/>
          <w:bCs/>
          <w:sz w:val="26"/>
          <w:szCs w:val="26"/>
        </w:rPr>
        <w:t>«</w:t>
      </w:r>
      <w:r>
        <w:rPr>
          <w:rFonts w:ascii="Times New Roman" w:cs="Times New Roman" w:eastAsia="Calibri" w:hAnsi="Times New Roman"/>
          <w:sz w:val="26"/>
          <w:szCs w:val="26"/>
        </w:rPr>
        <w:t>Основы проектной деятельности</w:t>
      </w:r>
      <w:r>
        <w:rPr>
          <w:rFonts w:ascii="Times New Roman" w:cs="Times New Roman" w:eastAsia="Calibri" w:hAnsi="Times New Roman"/>
          <w:bCs/>
          <w:sz w:val="26"/>
          <w:szCs w:val="26"/>
        </w:rPr>
        <w:t>»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 </w:t>
      </w:r>
    </w:p>
    <w:p w14:paraId="00000022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>
        <w:rPr>
          <w:rFonts w:ascii="Times New Roman" w:cs="Times New Roman" w:eastAsia="Calibri" w:hAnsi="Times New Roman"/>
          <w:sz w:val="26"/>
          <w:szCs w:val="26"/>
        </w:rPr>
        <w:t xml:space="preserve"> </w:t>
      </w:r>
    </w:p>
    <w:p w14:paraId="00000023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00000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ОУД.15 Основы проектной деятельности 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входит в </w:t>
      </w:r>
      <w:r>
        <w:rPr>
          <w:rFonts w:ascii="Times New Roman" w:cs="Times New Roman" w:eastAsia="Calibri" w:hAnsi="Times New Roman"/>
          <w:bCs/>
          <w:sz w:val="26"/>
          <w:szCs w:val="26"/>
        </w:rPr>
        <w:t>общих общеобразовательных учебных дисциплин, формируемых из обязательных предметных областей ФГОС среднего профессионального образования, для профессий СПО.</w:t>
      </w:r>
    </w:p>
    <w:p w14:paraId="0000002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sz w:val="26"/>
          <w:szCs w:val="26"/>
        </w:rPr>
        <w:t xml:space="preserve"> Цели и задачи учебной дисциплины – требования к результатам освоения дисциплины:</w:t>
      </w:r>
    </w:p>
    <w:p w14:paraId="00000026">
      <w:pPr>
        <w:widowControl w:val="off"/>
        <w:tabs>
          <w:tab w:val="num" w:pos="248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  <w:t>личностных</w:t>
      </w:r>
      <w:r>
        <w:rPr>
          <w:rFonts w:ascii="Times New Roman" w:cs="Times New Roman" w:eastAsia="Calibri" w:hAnsi="Times New Roman"/>
          <w:b/>
          <w:bCs/>
          <w:sz w:val="26"/>
          <w:szCs w:val="26"/>
        </w:rPr>
        <w:t>:</w:t>
      </w:r>
      <w:r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  <w:t xml:space="preserve"> </w:t>
      </w:r>
    </w:p>
    <w:p w14:paraId="00000027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выдвигать новые идеи, предлагать оригинальные подходы и решения;</w:t>
      </w:r>
    </w:p>
    <w:p w14:paraId="00000028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способность их использования в познавательной и социальной практике</w:t>
      </w:r>
    </w:p>
    <w:p w14:paraId="00000029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0000002A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0000002B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готовность к саморазвитию, самостоятельности и самоопределению;</w:t>
      </w:r>
    </w:p>
    <w:p w14:paraId="0000002C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</w:r>
      <w:r>
        <w:rPr>
          <w:rFonts w:ascii="Times New Roman" w:cs="Times New Roman" w:eastAsia="Calibri" w:hAnsi="Times New Roman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сотрудничать для их достижения;</w:t>
      </w:r>
    </w:p>
    <w:p w14:paraId="0000002D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000002E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владеть языковыми средствами - умением ясно, логично и точно излагать свою точку зрения, использовать адекватные языковые средства</w:t>
      </w:r>
    </w:p>
    <w:p w14:paraId="0000002F">
      <w:pPr>
        <w:widowControl w:val="off"/>
        <w:tabs>
          <w:tab w:val="num" w:pos="248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  <w:t>метапредметных</w:t>
      </w:r>
      <w:r>
        <w:rPr>
          <w:rFonts w:ascii="Times New Roman" w:cs="Times New Roman" w:eastAsia="Calibri" w:hAnsi="Times New Roman"/>
          <w:b/>
          <w:bCs/>
          <w:sz w:val="26"/>
          <w:szCs w:val="26"/>
        </w:rPr>
        <w:t>:</w:t>
      </w:r>
      <w:r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  <w:t xml:space="preserve"> </w:t>
      </w:r>
    </w:p>
    <w:p w14:paraId="00000030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00031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000032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переносить знания в познавательную и практическую области жизнедеятельности;</w:t>
      </w:r>
    </w:p>
    <w:p w14:paraId="00000033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-овладение навыками учебно-исследовательской, проектной и социальной деятельности;</w:t>
      </w:r>
    </w:p>
    <w:p w14:paraId="00000034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00000035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14:paraId="00000036">
      <w:pPr>
        <w:widowControl w:val="off"/>
        <w:tabs>
          <w:tab w:val="num" w:pos="248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  <w:t>предметных</w:t>
      </w:r>
      <w:r>
        <w:rPr>
          <w:rFonts w:ascii="Times New Roman" w:cs="Times New Roman" w:eastAsia="Calibri" w:hAnsi="Times New Roman"/>
          <w:b/>
          <w:bCs/>
          <w:sz w:val="26"/>
          <w:szCs w:val="26"/>
        </w:rPr>
        <w:t>:</w:t>
      </w:r>
      <w:r>
        <w:rPr>
          <w:rFonts w:ascii="Times New Roman" w:cs="Times New Roman" w:eastAsia="Calibri" w:hAnsi="Times New Roman"/>
          <w:b/>
          <w:bCs/>
          <w:i/>
          <w:iCs/>
          <w:sz w:val="26"/>
          <w:szCs w:val="26"/>
        </w:rPr>
        <w:t xml:space="preserve"> </w:t>
      </w:r>
    </w:p>
    <w:p w14:paraId="00000037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- знать основы проектной деятельности с привлечением </w:t>
      </w:r>
      <w:r>
        <w:rPr>
          <w:rFonts w:ascii="Times New Roman" w:cs="Times New Roman" w:eastAsia="Calibri" w:hAnsi="Times New Roman"/>
          <w:sz w:val="26"/>
          <w:szCs w:val="26"/>
        </w:rPr>
        <w:t xml:space="preserve">различных </w:t>
      </w:r>
      <w:r>
        <w:rPr>
          <w:rFonts w:ascii="Times New Roman" w:cs="Times New Roman" w:eastAsia="Calibri" w:hAnsi="Times New Roman"/>
          <w:sz w:val="26"/>
          <w:szCs w:val="26"/>
        </w:rPr>
        <w:t>источников;</w:t>
      </w:r>
    </w:p>
    <w:p w14:paraId="00000038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использовать информационные и компьютерные технологии для обработки и представления научной информации;</w:t>
      </w:r>
    </w:p>
    <w:p w14:paraId="00000039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применять компьютерные средства представления и анализа данных;</w:t>
      </w:r>
    </w:p>
    <w:p w14:paraId="0000003A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пользоваться современными техническими устройствами и</w:t>
      </w:r>
      <w:r>
        <w:rPr>
          <w:rFonts w:ascii="Times New Roman" w:cs="Times New Roman" w:eastAsia="Calibri" w:hAnsi="Times New Roman"/>
          <w:sz w:val="26"/>
          <w:szCs w:val="26"/>
          <w:lang w:val="ru-RU"/>
        </w:rPr>
        <w:t>н</w:t>
      </w:r>
      <w:r>
        <w:rPr>
          <w:rFonts w:ascii="Times New Roman" w:cs="Times New Roman" w:eastAsia="Calibri" w:hAnsi="Times New Roman"/>
          <w:sz w:val="26"/>
          <w:szCs w:val="26"/>
        </w:rPr>
        <w:t>формационными программами для оформления исследовательских работ;</w:t>
      </w:r>
    </w:p>
    <w:p w14:paraId="0000003B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работать с разными источниками информации,</w:t>
      </w:r>
    </w:p>
    <w:p w14:paraId="0000003C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грамотно цитировать их, составлять библиографический</w:t>
      </w:r>
    </w:p>
    <w:p w14:paraId="0000003D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список по теме исследования, оформлять библиографические</w:t>
      </w:r>
      <w:r>
        <w:rPr>
          <w:rFonts w:ascii="Times New Roman" w:cs="Times New Roman" w:eastAsia="Calibri" w:hAnsi="Times New Roman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ссылки; анализировать и конспектировать научную</w:t>
      </w:r>
      <w:r>
        <w:rPr>
          <w:rFonts w:ascii="Times New Roman" w:cs="Times New Roman" w:eastAsia="Calibri" w:hAnsi="Times New Roman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литературу</w:t>
      </w:r>
      <w:r>
        <w:rPr>
          <w:rFonts w:ascii="Times New Roman" w:cs="Times New Roman" w:eastAsia="Calibri" w:hAnsi="Times New Roman"/>
          <w:sz w:val="26"/>
          <w:szCs w:val="26"/>
        </w:rPr>
        <w:t>;</w:t>
      </w:r>
    </w:p>
    <w:p w14:paraId="0000003E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знать условия для развития навыков учебной, проектно-исследовательской, творческой деятельности;</w:t>
      </w:r>
    </w:p>
    <w:p w14:paraId="0000003F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формулировать тему исследовательской работы, доказывать её актуальность;</w:t>
      </w:r>
    </w:p>
    <w:p w14:paraId="00000040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</w:r>
    </w:p>
    <w:p w14:paraId="00000041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использовать основные методы работы с текстовыми документами, структурирования и обработки научной информации;</w:t>
      </w:r>
    </w:p>
    <w:p w14:paraId="00000042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знать и уметь применять требования и приемы подготовки научно-исследовательских работ к защите, методов их реализации;</w:t>
      </w:r>
    </w:p>
    <w:p w14:paraId="00000043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владеть навыками оформления научно-исследовательских работу.</w:t>
      </w:r>
    </w:p>
    <w:p w14:paraId="00000044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анализировать текст с точки зрения наличия в нем явной и скрытой, основной и второстепенной информации;</w:t>
      </w:r>
    </w:p>
    <w:p w14:paraId="00000045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анализировать, оценивать, проверять на достоверность и обобщать научную информацию;</w:t>
      </w:r>
    </w:p>
    <w:p w14:paraId="00000046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форматировать текстовые и графические документы согласно требованиям ЕСКД;</w:t>
      </w:r>
    </w:p>
    <w:p w14:paraId="00000047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Calibri" w:hAnsi="Times New Roman"/>
          <w:sz w:val="26"/>
          <w:szCs w:val="26"/>
        </w:rPr>
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</w:r>
    </w:p>
    <w:p w14:paraId="00000048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0000049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14:paraId="0000004A">
      <w:pPr>
        <w:shd w:val="clear" w:color="auto" w:fill="ffff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Calibri" w:hAnsi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000004B">
      <w:pPr>
        <w:shd w:val="clear" w:color="auto" w:fill="ffff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  <w:lang w:eastAsia="ru-RU"/>
        </w:rPr>
      </w:pPr>
      <w:r>
        <w:rPr>
          <w:rFonts w:ascii="Times New Roman" w:cs="Times New Roman" w:eastAsia="Calibri" w:hAnsi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0000004C">
      <w:pPr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Calibri" w:hAnsi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000004D">
      <w:pPr>
        <w:shd w:val="clear" w:color="auto" w:fill="ffffff"/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Calibri" w:hAnsi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000004E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i/>
          <w:color w:val="000000"/>
          <w:sz w:val="26"/>
          <w:szCs w:val="26"/>
          <w:lang w:bidi="ru-RU"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Выпускник, освоивший программу ОУД 15 «Основы проектной деятельности», должен обладать личностными результатами в соответствии с рабочей программой воспитания по профессии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p w14:paraId="0000004F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</w:pPr>
      <w:r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  <w:t>ЛР</w:t>
      </w:r>
      <w:r>
        <w:rPr>
          <w:rFonts w:ascii="Times New Roman" w:cs="Times New Roman" w:eastAsia="Andale Sans UI" w:hAnsi="Times New Roman"/>
          <w:b/>
          <w:spacing w:val="-3"/>
          <w:sz w:val="26"/>
          <w:szCs w:val="26"/>
          <w:lang w:val="de-DE" w:bidi="fa-IR" w:eastAsia="ja-JP"/>
        </w:rPr>
        <w:t xml:space="preserve"> </w:t>
      </w:r>
      <w:r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  <w:t>3</w:t>
      </w:r>
      <w:r>
        <w:rPr>
          <w:rFonts w:ascii="Times New Roman" w:cs="Times New Roman" w:eastAsia="Andale Sans UI" w:hAnsi="Times New Roman"/>
          <w:sz w:val="26"/>
          <w:szCs w:val="26"/>
          <w:lang w:bidi="fa-IR" w:eastAsia="ja-JP"/>
        </w:rPr>
        <w:t xml:space="preserve"> Осознающий значимость системного познания мира, критического осмысления накопленного опыта.</w:t>
      </w:r>
      <w:r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  <w:t xml:space="preserve"> </w:t>
      </w:r>
    </w:p>
    <w:p w14:paraId="00000050">
      <w:pPr>
        <w:widowControl w:val="off"/>
        <w:spacing w:after="0" w:line="240" w:lineRule="auto"/>
        <w:ind w:firstLine="624"/>
        <w:jc w:val="both"/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</w:pPr>
      <w:r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  <w:t>ЛР</w:t>
      </w:r>
      <w:r>
        <w:rPr>
          <w:rFonts w:ascii="Times New Roman" w:cs="Times New Roman" w:eastAsia="Andale Sans UI" w:hAnsi="Times New Roman"/>
          <w:b/>
          <w:spacing w:val="-3"/>
          <w:sz w:val="26"/>
          <w:szCs w:val="26"/>
          <w:lang w:val="de-DE" w:bidi="fa-IR" w:eastAsia="ja-JP"/>
        </w:rPr>
        <w:t xml:space="preserve"> </w:t>
      </w:r>
      <w:r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  <w:t>5</w:t>
      </w:r>
      <w:r>
        <w:rPr>
          <w:rFonts w:ascii="Times New Roman" w:cs="Times New Roman" w:eastAsia="Andale Sans UI" w:hAnsi="Times New Roman"/>
          <w:sz w:val="26"/>
          <w:szCs w:val="26"/>
          <w:lang w:bidi="fa-IR" w:eastAsia="ja-JP"/>
        </w:rPr>
        <w:t xml:space="preserve"> Занимающий активную гражданскую позицию избирателя, волонтера, общественного деятеля.</w:t>
      </w:r>
      <w:r>
        <w:rPr>
          <w:rFonts w:ascii="Times New Roman" w:cs="Times New Roman" w:eastAsia="Andale Sans UI" w:hAnsi="Times New Roman"/>
          <w:b/>
          <w:sz w:val="26"/>
          <w:szCs w:val="26"/>
          <w:lang w:val="de-DE" w:bidi="fa-IR" w:eastAsia="ja-JP"/>
        </w:rPr>
        <w:t xml:space="preserve"> </w:t>
      </w:r>
    </w:p>
    <w:p w14:paraId="00000051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>ЛР</w:t>
      </w:r>
      <w:r>
        <w:rPr>
          <w:rFonts w:ascii="Times New Roman" w:cs="Times New Roman" w:eastAsia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8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0000052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>ЛР</w:t>
      </w:r>
      <w:r>
        <w:rPr>
          <w:rFonts w:ascii="Times New Roman" w:cs="Times New Roman" w:eastAsia="Times New Roman" w:hAnsi="Times New Roman"/>
          <w:b/>
          <w:spacing w:val="-3"/>
          <w:sz w:val="26"/>
          <w:szCs w:val="26"/>
        </w:rPr>
        <w:t xml:space="preserve"> 12 </w:t>
      </w:r>
      <w:r>
        <w:rPr>
          <w:rFonts w:ascii="Times New Roman" w:cs="Times New Roman" w:eastAsia="Times New Roman" w:hAnsi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0000053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Содержание дисциплины имеет межпредметные связи с общеобразовательными дисциплинами –</w:t>
      </w:r>
      <w:r>
        <w:rPr>
          <w:rFonts w:ascii="Times New Roman" w:cs="Times New Roman" w:eastAsia="Times New Roman" w:hAnsi="Times New Roman"/>
          <w:sz w:val="26"/>
          <w:szCs w:val="26"/>
          <w:lang w:bidi="ru-RU" w:eastAsia="ru-RU"/>
        </w:rPr>
        <w:t>Информатика, русский язык, география</w:t>
      </w:r>
      <w:r>
        <w:rPr>
          <w:rFonts w:ascii="Times New Roman" w:cs="Times New Roman" w:eastAsia="Times New Roman" w:hAnsi="Times New Roman"/>
          <w:color w:val="ff0000"/>
          <w:sz w:val="26"/>
          <w:szCs w:val="26"/>
          <w:lang w:eastAsia="ru-RU"/>
        </w:rPr>
        <w:t>.</w:t>
      </w:r>
    </w:p>
    <w:p w14:paraId="00000054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0000055">
      <w:pPr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14:paraId="00000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0000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</w:p>
    <w:p w14:paraId="00000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color w:val="000000"/>
          <w:sz w:val="26"/>
          <w:szCs w:val="26"/>
        </w:rPr>
      </w:pPr>
    </w:p>
    <w:p w14:paraId="00000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cs="Times New Roman" w:eastAsia="Calibri" w:hAnsi="Times New Roman"/>
          <w:b/>
          <w:color w:val="000000"/>
          <w:sz w:val="26"/>
          <w:szCs w:val="26"/>
        </w:rPr>
        <w:t>Количество часов на освоение программы дисциплины:</w:t>
      </w:r>
    </w:p>
    <w:p w14:paraId="0000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  <w:lang w:eastAsia="ru-RU"/>
        </w:rPr>
        <w:t>учебной нагрузки обучающегося</w:t>
      </w:r>
      <w:r>
        <w:rPr>
          <w:rFonts w:ascii="Times New Roman" w:cs="Times New Roman" w:eastAsia="Calibri" w:hAnsi="Times New Roman"/>
          <w:sz w:val="26"/>
          <w:szCs w:val="26"/>
        </w:rPr>
        <w:t xml:space="preserve"> всего – </w:t>
      </w:r>
      <w:r>
        <w:rPr>
          <w:rFonts w:ascii="Times New Roman" w:cs="Times New Roman" w:eastAsia="Calibri" w:hAnsi="Times New Roman"/>
          <w:b/>
          <w:sz w:val="26"/>
          <w:szCs w:val="26"/>
        </w:rPr>
        <w:t>36 часов</w:t>
      </w:r>
      <w:r>
        <w:rPr>
          <w:rFonts w:ascii="Times New Roman" w:cs="Times New Roman" w:eastAsia="Calibri" w:hAnsi="Times New Roman"/>
          <w:sz w:val="26"/>
          <w:szCs w:val="26"/>
        </w:rPr>
        <w:t>, в том числе:</w:t>
      </w:r>
    </w:p>
    <w:p w14:paraId="00000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cs="Times New Roman" w:eastAsia="Calibri" w:hAnsi="Times New Roman"/>
          <w:b/>
          <w:sz w:val="26"/>
          <w:szCs w:val="26"/>
        </w:rPr>
        <w:t>36 часов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</w:p>
    <w:p w14:paraId="0000005C">
      <w:pPr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br w:type="page"/>
      </w:r>
    </w:p>
    <w:p w14:paraId="0000005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00000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both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59" w:type="dxa"/>
        <w:tblInd w:w="-636" w:type="dxa"/>
        <w:tblLayout w:type="fixed"/>
        <w:tblLook w:val="0000"/>
      </w:tblPr>
      <w:tblGrid>
        <w:gridCol w:w="7904"/>
        <w:gridCol w:w="1855"/>
      </w:tblGrid>
      <w:tr>
        <w:trPr>
          <w:trHeight w:val="460"/>
        </w:trPr>
        <w:tc>
          <w:tcPr>
            <w:cnfStyle w:val="000010100000"/>
            <w:tcW w:w="7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5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cnfStyle w:val="000001100000"/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0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>
        <w:trPr>
          <w:trHeight w:val="285"/>
        </w:trPr>
        <w:tc>
          <w:tcPr>
            <w:cnfStyle w:val="000010010000"/>
            <w:tcW w:w="7904" w:type="dxa"/>
            <w:tcBorders>
              <w:left w:val="single" w:color="000000" w:sz="4" w:space="0"/>
              <w:bottom w:val="single" w:color="000000" w:sz="4" w:space="0"/>
            </w:tcBorders>
          </w:tcPr>
          <w:p w14:paraId="00000061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001010000"/>
            <w:tcW w:w="18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2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36</w:t>
            </w:r>
          </w:p>
        </w:tc>
      </w:tr>
      <w:tr>
        <w:trPr/>
        <w:tc>
          <w:tcPr>
            <w:cnfStyle w:val="000010100000"/>
            <w:tcW w:w="7904" w:type="dxa"/>
            <w:tcBorders>
              <w:left w:val="single" w:color="000000" w:sz="4" w:space="0"/>
              <w:bottom w:val="single" w:color="000000" w:sz="4" w:space="0"/>
            </w:tcBorders>
          </w:tcPr>
          <w:p w14:paraId="00000063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cnfStyle w:val="000001100000"/>
            <w:tcW w:w="18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4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36</w:t>
            </w:r>
          </w:p>
        </w:tc>
      </w:tr>
      <w:tr>
        <w:trPr/>
        <w:tc>
          <w:tcPr>
            <w:cnfStyle w:val="000010010000"/>
            <w:tcW w:w="7904" w:type="dxa"/>
            <w:tcBorders>
              <w:left w:val="single" w:color="000000" w:sz="4" w:space="0"/>
              <w:bottom w:val="single" w:color="auto" w:sz="4" w:space="0"/>
            </w:tcBorders>
          </w:tcPr>
          <w:p w14:paraId="00000065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cnfStyle w:val="000001010000"/>
            <w:tcW w:w="185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0000066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</w:tr>
      <w:tr>
        <w:trPr/>
        <w:tc>
          <w:tcPr>
            <w:cnfStyle w:val="000010100000"/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67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cnfStyle w:val="000001100000"/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68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24</w:t>
            </w:r>
          </w:p>
        </w:tc>
      </w:tr>
      <w:tr>
        <w:trPr/>
        <w:tc>
          <w:tcPr>
            <w:cnfStyle w:val="000010010000"/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9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cnfStyle w:val="000001010000"/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8</w:t>
            </w:r>
          </w:p>
        </w:tc>
      </w:tr>
      <w:tr>
        <w:trPr/>
        <w:tc>
          <w:tcPr>
            <w:cnfStyle w:val="000010100000"/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B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в т. ч.:</w:t>
            </w:r>
          </w:p>
        </w:tc>
        <w:tc>
          <w:tcPr>
            <w:cnfStyle w:val="000001100000"/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C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</w:tr>
      <w:tr>
        <w:trPr/>
        <w:tc>
          <w:tcPr>
            <w:cnfStyle w:val="000010010000"/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D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cnfStyle w:val="000001010000"/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E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cnfStyle w:val="000010100000"/>
            <w:tcW w:w="7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6F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001100000"/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70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4</w:t>
            </w:r>
          </w:p>
        </w:tc>
      </w:tr>
      <w:tr>
        <w:trPr>
          <w:trHeight w:val="581"/>
        </w:trPr>
        <w:tc>
          <w:tcPr>
            <w:cnfStyle w:val="000010010000"/>
            <w:tcW w:w="9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71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Промежуточная аттестация в форме дифференцированного зачёта                      </w:t>
            </w:r>
          </w:p>
        </w:tc>
      </w:tr>
    </w:tbl>
    <w:p w14:paraId="00000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cs="Times New Roman" w:eastAsia="Calibri" w:hAnsi="Times New Roman"/>
          <w:sz w:val="26"/>
          <w:szCs w:val="26"/>
        </w:rPr>
      </w:pPr>
    </w:p>
    <w:p w14:paraId="00000073">
      <w:pP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sectPr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Times New Roman" w:cs="Times New Roman" w:eastAsia="Calibri" w:hAnsi="Times New Roman"/>
          <w:sz w:val="26"/>
          <w:szCs w:val="26"/>
        </w:rPr>
        <w:br w:type="page"/>
      </w:r>
    </w:p>
    <w:p w14:paraId="00000074">
      <w:pPr>
        <w:spacing w:after="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2.2. Тематический план и содержание учебной дисциплины «</w:t>
      </w:r>
      <w:r>
        <w:rPr>
          <w:rFonts w:ascii="Times New Roman" w:cs="Times New Roman" w:eastAsia="Calibri" w:hAnsi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00000075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rFonts w:ascii="Times New Roman" w:cs="Times New Roman" w:eastAsia="Times New Roman" w:hAnsi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09"/>
        <w:gridCol w:w="8456"/>
        <w:gridCol w:w="2268"/>
        <w:gridCol w:w="1701"/>
      </w:tblGrid>
      <w:tr>
        <w:trPr>
          <w:trHeight w:val="650"/>
        </w:trPr>
        <w:tc>
          <w:tcPr>
            <w:cnfStyle w:val="101000000000"/>
            <w:tcW w:w="2709" w:type="dxa"/>
          </w:tcPr>
          <w:p w14:paraId="000000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cnfStyle w:val="100010000000"/>
            <w:tcW w:w="8456" w:type="dxa"/>
          </w:tcPr>
          <w:p w14:paraId="00000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cnfStyle w:val="100001000000"/>
            <w:tcW w:w="2268" w:type="dxa"/>
          </w:tcPr>
          <w:p w14:paraId="0000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Объем часов</w:t>
            </w:r>
          </w:p>
          <w:p w14:paraId="00000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теор./пр.</w:t>
            </w:r>
          </w:p>
        </w:tc>
        <w:tc>
          <w:tcPr>
            <w:cnfStyle w:val="100100000000"/>
            <w:tcW w:w="1701" w:type="dxa"/>
            <w:shd w:val="clear" w:color="auto" w:fill="auto"/>
          </w:tcPr>
          <w:p w14:paraId="000000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>
        <w:trPr>
          <w:trHeight w:val="306"/>
        </w:trPr>
        <w:tc>
          <w:tcPr>
            <w:cnfStyle w:val="001000100000"/>
            <w:tcW w:w="2709" w:type="dxa"/>
            <w:tcBorders>
              <w:bottom w:val="single" w:color="auto" w:sz="4" w:space="0"/>
            </w:tcBorders>
          </w:tcPr>
          <w:p w14:paraId="000000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cnfStyle w:val="000010100000"/>
            <w:tcW w:w="8456" w:type="dxa"/>
            <w:tcBorders>
              <w:bottom w:val="single" w:color="auto" w:sz="4" w:space="0"/>
            </w:tcBorders>
          </w:tcPr>
          <w:p w14:paraId="0000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cnfStyle w:val="000001100000"/>
            <w:tcW w:w="2268" w:type="dxa"/>
            <w:tcBorders>
              <w:bottom w:val="single" w:color="auto" w:sz="4" w:space="0"/>
            </w:tcBorders>
          </w:tcPr>
          <w:p w14:paraId="00000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cnfStyle w:val="000100100000"/>
            <w:tcW w:w="1701" w:type="dxa"/>
            <w:tcBorders>
              <w:bottom w:val="single" w:color="auto" w:sz="4" w:space="0"/>
            </w:tcBorders>
            <w:shd w:val="clear" w:color="auto" w:fill="auto"/>
          </w:tcPr>
          <w:p w14:paraId="00000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  <w:t>4</w:t>
            </w:r>
          </w:p>
        </w:tc>
      </w:tr>
      <w:tr>
        <w:trPr/>
        <w:tc>
          <w:tcPr>
            <w:cnfStyle w:val="001000010000"/>
            <w:tcW w:w="2709" w:type="dxa"/>
            <w:vMerge w:val="restart"/>
          </w:tcPr>
          <w:p w14:paraId="0000007F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«Основы проектной деятельности»</w:t>
            </w: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0000080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1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2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3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4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5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6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7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8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</w:pPr>
          </w:p>
          <w:p w14:paraId="00000089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</w:tcPr>
          <w:p w14:paraId="000000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cnfStyle w:val="000001010000"/>
            <w:tcW w:w="2268" w:type="dxa"/>
          </w:tcPr>
          <w:p w14:paraId="00000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12</w:t>
            </w: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cnfStyle w:val="000100010000"/>
            <w:tcW w:w="1701" w:type="dxa"/>
            <w:shd w:val="clear" w:color="auto" w:fill="auto"/>
          </w:tcPr>
          <w:p w14:paraId="00000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</w:p>
        </w:tc>
      </w:tr>
      <w:tr>
        <w:trPr>
          <w:trHeight w:val="874"/>
        </w:trPr>
        <w:tc>
          <w:tcPr>
            <w:cnfStyle w:val="001000100000"/>
            <w:tcW w:w="2709" w:type="dxa"/>
            <w:vMerge w:val="continue"/>
          </w:tcPr>
          <w:p w14:paraId="0000008D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bottom w:val="single" w:color="auto" w:sz="4" w:space="0"/>
            </w:tcBorders>
          </w:tcPr>
          <w:p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Предмет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«Основы проектной деятельности»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, цели и задачи курса.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cnfStyle w:val="000001100000"/>
            <w:tcW w:w="2268" w:type="dxa"/>
          </w:tcPr>
          <w:p w14:paraId="000000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shd w:val="clear" w:color="auto" w:fill="auto"/>
          </w:tcPr>
          <w:p w14:paraId="00000090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874"/>
        </w:trPr>
        <w:tc>
          <w:tcPr>
            <w:cnfStyle w:val="001000010000"/>
            <w:tcW w:w="2709" w:type="dxa"/>
            <w:vMerge w:val="continue"/>
          </w:tcPr>
          <w:p w14:paraId="00000091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Классы проектов (монопроекты, мультипроекты, мегапроекты)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cnfStyle w:val="000001010000"/>
            <w:tcW w:w="2268" w:type="dxa"/>
          </w:tcPr>
          <w:p w14:paraId="00000093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shd w:val="clear" w:color="auto" w:fill="auto"/>
          </w:tcPr>
          <w:p w14:paraId="00000094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874"/>
        </w:trPr>
        <w:tc>
          <w:tcPr>
            <w:cnfStyle w:val="001000100000"/>
            <w:tcW w:w="2709" w:type="dxa"/>
            <w:vMerge w:val="continue"/>
          </w:tcPr>
          <w:p w14:paraId="00000095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1.  </w:t>
            </w:r>
          </w:p>
          <w:p w14:paraId="00000097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3-4.</w:t>
            </w: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14:paraId="000000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Алгоритм работы над проектом</w:t>
            </w:r>
          </w:p>
        </w:tc>
        <w:tc>
          <w:tcPr>
            <w:cnfStyle w:val="000001100000"/>
            <w:tcW w:w="2268" w:type="dxa"/>
          </w:tcPr>
          <w:p w14:paraId="00000099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701" w:type="dxa"/>
            <w:shd w:val="clear" w:color="auto" w:fill="auto"/>
          </w:tcPr>
          <w:p w14:paraId="0000009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trHeight w:val="503"/>
        </w:trPr>
        <w:tc>
          <w:tcPr>
            <w:cnfStyle w:val="001000010000"/>
            <w:tcW w:w="2709" w:type="dxa"/>
            <w:vMerge w:val="continue"/>
          </w:tcPr>
          <w:p w14:paraId="0000009B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9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5.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9D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shd w:val="clear" w:color="auto" w:fill="auto"/>
          </w:tcPr>
          <w:p w14:paraId="0000009E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515"/>
        </w:trPr>
        <w:tc>
          <w:tcPr>
            <w:cnfStyle w:val="001000100000"/>
            <w:tcW w:w="2709" w:type="dxa"/>
            <w:vMerge w:val="continue"/>
          </w:tcPr>
          <w:p w14:paraId="0000009F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A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14:paraId="000000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>6-7.</w:t>
            </w: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A2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</w:tcBorders>
            <w:shd w:val="clear" w:color="auto" w:fill="auto"/>
          </w:tcPr>
          <w:p w14:paraId="000000A3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418"/>
        </w:trPr>
        <w:tc>
          <w:tcPr>
            <w:cnfStyle w:val="001000010000"/>
            <w:tcW w:w="2709" w:type="dxa"/>
            <w:vMerge w:val="continue"/>
          </w:tcPr>
          <w:p w14:paraId="000000A4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A5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i/>
              </w:rPr>
              <w:t xml:space="preserve">(профессионально ориентированное) </w:t>
            </w: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Подготовительная работа.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. 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286"/>
        </w:trPr>
        <w:tc>
          <w:tcPr>
            <w:cnfStyle w:val="001000100000"/>
            <w:tcW w:w="2709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00000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A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9.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Определение цели и задач. Эффективность целеполагания. Актуальность и практическая значимость исследования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A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AB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510"/>
        </w:trPr>
        <w:tc>
          <w:tcPr>
            <w:cnfStyle w:val="00100001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3. </w:t>
            </w: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14:paraId="000000A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10-11.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>Формулирование темы проекта. Определение целей, задач проекта</w:t>
            </w:r>
          </w:p>
          <w:p w14:paraId="00000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cnfStyle w:val="00000101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B0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B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270"/>
        </w:trPr>
        <w:tc>
          <w:tcPr>
            <w:cnfStyle w:val="001000100000"/>
            <w:tcW w:w="2709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000000B2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 xml:space="preserve">Тема 3. </w:t>
            </w:r>
            <w:r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B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12.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B4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B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270"/>
        </w:trPr>
        <w:tc>
          <w:tcPr>
            <w:cnfStyle w:val="00100001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B6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B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4. </w:t>
            </w: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14:paraId="000000B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B9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B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270"/>
        </w:trPr>
        <w:tc>
          <w:tcPr>
            <w:cnfStyle w:val="00100010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BB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B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14. </w:t>
            </w: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BD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BE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270"/>
        </w:trPr>
        <w:tc>
          <w:tcPr>
            <w:cnfStyle w:val="00100001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BF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C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15.</w:t>
            </w:r>
            <w:r>
              <w:rPr>
                <w:rFonts w:ascii="Times New Roman" w:cs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 Практическое занятие 5. </w:t>
            </w:r>
            <w:r>
              <w:rPr>
                <w:rFonts w:ascii="Times New Roman" w:cs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14:paraId="000000C1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14:paraId="000000C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C3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C4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502"/>
        </w:trPr>
        <w:tc>
          <w:tcPr>
            <w:cnfStyle w:val="00100010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C5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>16.</w:t>
            </w: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>
              <w:rPr>
                <w:rFonts w:ascii="Times New Roman" w:cs="Times New Roman" w:eastAsia="Calibri" w:hAnsi="Times New Roman"/>
                <w:b/>
                <w:color w:val="000000"/>
                <w:sz w:val="26"/>
                <w:szCs w:val="26"/>
              </w:rPr>
              <w:t xml:space="preserve"> .</w:t>
            </w:r>
            <w:r>
              <w:rPr>
                <w:rFonts w:ascii="Times New Roman" w:cs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C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C8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502"/>
        </w:trPr>
        <w:tc>
          <w:tcPr>
            <w:cnfStyle w:val="00100001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C9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</w:tcBorders>
          </w:tcPr>
          <w:p w14:paraId="000000CA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17-18.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14:paraId="000000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14:paraId="000000C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Составление плана текста.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000000C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</w:tcBorders>
          </w:tcPr>
          <w:p w14:paraId="000000CE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  <w:p w14:paraId="000000C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cnfStyle w:val="000100010000"/>
            <w:tcW w:w="1701" w:type="dxa"/>
            <w:tcBorders>
              <w:top w:val="single" w:color="auto" w:sz="4" w:space="0"/>
            </w:tcBorders>
            <w:shd w:val="clear" w:color="auto" w:fill="auto"/>
          </w:tcPr>
          <w:p w14:paraId="000000D0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502"/>
        </w:trPr>
        <w:tc>
          <w:tcPr>
            <w:cnfStyle w:val="001000100000"/>
            <w:tcW w:w="2709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Тема 4. Методы работы с</w:t>
            </w: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 xml:space="preserve"> </w:t>
            </w:r>
          </w:p>
          <w:p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cnfStyle w:val="000010100000"/>
            <w:tcW w:w="8456" w:type="dxa"/>
            <w:tcBorders>
              <w:bottom w:val="single" w:color="auto" w:sz="4" w:space="0"/>
            </w:tcBorders>
          </w:tcPr>
          <w:p w14:paraId="000000D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19.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cnfStyle w:val="000001100000"/>
            <w:tcW w:w="2268" w:type="dxa"/>
            <w:tcBorders>
              <w:bottom w:val="single" w:color="auto" w:sz="4" w:space="0"/>
            </w:tcBorders>
          </w:tcPr>
          <w:p w14:paraId="000000D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D6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</w:tr>
      <w:tr>
        <w:trPr>
          <w:trHeight w:val="502"/>
        </w:trPr>
        <w:tc>
          <w:tcPr>
            <w:cnfStyle w:val="00100001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D7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bottom w:val="single" w:color="auto" w:sz="4" w:space="0"/>
            </w:tcBorders>
          </w:tcPr>
          <w:p w14:paraId="000000D8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20.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cnfStyle w:val="000001010000"/>
            <w:tcW w:w="2268" w:type="dxa"/>
            <w:tcBorders>
              <w:bottom w:val="single" w:color="auto" w:sz="4" w:space="0"/>
            </w:tcBorders>
          </w:tcPr>
          <w:p w14:paraId="000000D9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D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502"/>
        </w:trPr>
        <w:tc>
          <w:tcPr>
            <w:cnfStyle w:val="00100010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DB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bottom w:val="single" w:color="auto" w:sz="4" w:space="0"/>
            </w:tcBorders>
          </w:tcPr>
          <w:p w14:paraId="000000DC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 xml:space="preserve">21-22. </w:t>
            </w: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14:paraId="000000DD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 xml:space="preserve">Анализ готовых рефератов.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14:paraId="000000DE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000000D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cnfStyle w:val="000001100000"/>
            <w:tcW w:w="2268" w:type="dxa"/>
            <w:tcBorders>
              <w:bottom w:val="single" w:color="auto" w:sz="4" w:space="0"/>
            </w:tcBorders>
          </w:tcPr>
          <w:p w14:paraId="0000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14:paraId="000000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</w:p>
          <w:p w14:paraId="00000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</w:p>
          <w:p w14:paraId="000000E3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701" w:type="dxa"/>
            <w:tcBorders>
              <w:bottom w:val="single" w:color="auto" w:sz="4" w:space="0"/>
            </w:tcBorders>
            <w:shd w:val="clear" w:color="auto" w:fill="auto"/>
          </w:tcPr>
          <w:p w14:paraId="000000E4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418"/>
        </w:trPr>
        <w:tc>
          <w:tcPr>
            <w:cnfStyle w:val="001000010000"/>
            <w:tcW w:w="2709" w:type="dxa"/>
            <w:vMerge w:val="restart"/>
            <w:tcBorders>
              <w:bottom w:val="single" w:color="auto" w:sz="4" w:space="0"/>
            </w:tcBorders>
          </w:tcPr>
          <w:p w14:paraId="00000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cnfStyle w:val="000010010000"/>
            <w:tcW w:w="8456" w:type="dxa"/>
            <w:tcBorders>
              <w:bottom w:val="single" w:color="auto" w:sz="4" w:space="0"/>
            </w:tcBorders>
          </w:tcPr>
          <w:p w14:paraId="000000E6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25.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Создание презентации в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Power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Point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cnfStyle w:val="000001010000"/>
            <w:tcW w:w="2268" w:type="dxa"/>
            <w:tcBorders>
              <w:bottom w:val="single" w:color="auto" w:sz="4" w:space="0"/>
            </w:tcBorders>
          </w:tcPr>
          <w:p w14:paraId="00000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1701" w:type="dxa"/>
            <w:tcBorders>
              <w:bottom w:val="single" w:color="auto" w:sz="4" w:space="0"/>
            </w:tcBorders>
            <w:shd w:val="clear" w:color="auto" w:fill="auto"/>
          </w:tcPr>
          <w:p w14:paraId="00000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240"/>
        </w:trPr>
        <w:tc>
          <w:tcPr>
            <w:cnfStyle w:val="001000100000"/>
            <w:tcW w:w="2709" w:type="dxa"/>
            <w:vMerge w:val="continue"/>
            <w:tcBorders>
              <w:bottom w:val="single" w:color="auto" w:sz="4" w:space="0"/>
            </w:tcBorders>
          </w:tcPr>
          <w:p w14:paraId="00000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EA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26.</w:t>
            </w: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1701" w:type="dxa"/>
            <w:tcBorders>
              <w:bottom w:val="single" w:color="auto" w:sz="4" w:space="0"/>
            </w:tcBorders>
            <w:shd w:val="clear" w:color="auto" w:fill="auto"/>
          </w:tcPr>
          <w:p w14:paraId="00000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240"/>
        </w:trPr>
        <w:tc>
          <w:tcPr>
            <w:cnfStyle w:val="001000010000"/>
            <w:tcW w:w="2709" w:type="dxa"/>
            <w:vMerge w:val="continue"/>
            <w:tcBorders>
              <w:bottom w:val="single" w:color="auto" w:sz="4" w:space="0"/>
            </w:tcBorders>
          </w:tcPr>
          <w:p w14:paraId="0000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EE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 xml:space="preserve">27-28. Практическое занятие 9. </w:t>
            </w:r>
          </w:p>
          <w:p w14:paraId="000000EF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14:paraId="000000F0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 xml:space="preserve">Оформление слайдов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в программе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Power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Point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.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701" w:type="dxa"/>
            <w:tcBorders>
              <w:bottom w:val="single" w:color="auto" w:sz="4" w:space="0"/>
            </w:tcBorders>
            <w:shd w:val="clear" w:color="auto" w:fill="auto"/>
          </w:tcPr>
          <w:p w14:paraId="0000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2</w:t>
            </w:r>
          </w:p>
        </w:tc>
      </w:tr>
      <w:tr>
        <w:trPr>
          <w:trHeight w:val="240"/>
        </w:trPr>
        <w:tc>
          <w:tcPr>
            <w:cnfStyle w:val="001000100000"/>
            <w:tcW w:w="2709" w:type="dxa"/>
            <w:vMerge w:val="continue"/>
            <w:tcBorders>
              <w:bottom w:val="single" w:color="auto" w:sz="4" w:space="0"/>
            </w:tcBorders>
          </w:tcPr>
          <w:p w14:paraId="000000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  <w:tcBorders>
              <w:top w:val="single" w:color="auto" w:sz="4" w:space="0"/>
              <w:bottom w:val="single" w:color="auto" w:sz="4" w:space="0"/>
            </w:tcBorders>
          </w:tcPr>
          <w:p w14:paraId="000000F4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000000F5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cnfStyle w:val="000001100000"/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00000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</w:tc>
      </w:tr>
      <w:tr>
        <w:trPr>
          <w:trHeight w:val="495"/>
        </w:trPr>
        <w:tc>
          <w:tcPr>
            <w:cnfStyle w:val="00100001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0F8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  <w:tcBorders>
              <w:top w:val="single" w:color="auto" w:sz="4" w:space="0"/>
            </w:tcBorders>
          </w:tcPr>
          <w:p w14:paraId="000000F9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14:paraId="000000FA">
            <w:pPr>
              <w:shd w:val="clear" w:color="auto" w:fill="ffffff"/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14:paraId="000000FB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14:paraId="000000FC">
            <w:pPr>
              <w:shd w:val="clear" w:color="auto" w:fill="ffffff"/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cnfStyle w:val="000001010000"/>
            <w:tcW w:w="2268" w:type="dxa"/>
            <w:tcBorders>
              <w:top w:val="single" w:color="auto" w:sz="4" w:space="0"/>
            </w:tcBorders>
          </w:tcPr>
          <w:p w14:paraId="000000FD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  <w:p w14:paraId="000000FE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</w:p>
          <w:p w14:paraId="000000F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</w:p>
          <w:p w14:paraId="00000100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701" w:type="dxa"/>
            <w:tcBorders>
              <w:top w:val="single" w:color="auto" w:sz="4" w:space="0"/>
            </w:tcBorders>
            <w:shd w:val="clear" w:color="auto" w:fill="auto"/>
          </w:tcPr>
          <w:p w14:paraId="00000101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2</w:t>
            </w:r>
          </w:p>
          <w:p w14:paraId="00000102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</w:tr>
      <w:tr>
        <w:trPr>
          <w:trHeight w:val="495"/>
        </w:trPr>
        <w:tc>
          <w:tcPr>
            <w:cnfStyle w:val="001000100000"/>
            <w:tcW w:w="270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000103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8456" w:type="dxa"/>
          </w:tcPr>
          <w:p w14:paraId="00000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35-36.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 xml:space="preserve">13. </w:t>
            </w:r>
          </w:p>
          <w:p w14:paraId="00000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00000106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cnfStyle w:val="000001100000"/>
            <w:tcW w:w="2268" w:type="dxa"/>
          </w:tcPr>
          <w:p w14:paraId="00000107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000108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3</w:t>
            </w:r>
          </w:p>
        </w:tc>
      </w:tr>
      <w:tr>
        <w:trPr>
          <w:trHeight w:val="495"/>
        </w:trPr>
        <w:tc>
          <w:tcPr>
            <w:cnfStyle w:val="001000010000"/>
            <w:tcW w:w="2709" w:type="dxa"/>
            <w:tcBorders>
              <w:top w:val="single" w:color="auto" w:sz="4" w:space="0"/>
              <w:bottom w:val="single" w:color="auto" w:sz="4" w:space="0"/>
            </w:tcBorders>
          </w:tcPr>
          <w:p w14:paraId="00000109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8456" w:type="dxa"/>
          </w:tcPr>
          <w:p w14:paraId="0000010A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cnfStyle w:val="000001010000"/>
            <w:tcW w:w="2268" w:type="dxa"/>
          </w:tcPr>
          <w:p w14:paraId="0000010B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12</w:t>
            </w:r>
            <w:r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cnfStyle w:val="000100010000"/>
            <w:tcW w:w="1701" w:type="dxa"/>
            <w:shd w:val="clear" w:color="auto" w:fill="auto"/>
          </w:tcPr>
          <w:p w14:paraId="0000010C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3</w:t>
            </w:r>
          </w:p>
        </w:tc>
      </w:tr>
      <w:tr>
        <w:trPr/>
        <w:tc>
          <w:tcPr>
            <w:cnfStyle w:val="011000000000"/>
            <w:tcW w:w="2709" w:type="dxa"/>
          </w:tcPr>
          <w:p w14:paraId="00000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Cs/>
                <w:i/>
                <w:sz w:val="26"/>
                <w:szCs w:val="26"/>
              </w:rPr>
            </w:pPr>
          </w:p>
        </w:tc>
        <w:tc>
          <w:tcPr>
            <w:cnfStyle w:val="010010000000"/>
            <w:tcW w:w="8456" w:type="dxa"/>
          </w:tcPr>
          <w:p w14:paraId="0000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cnfStyle w:val="010001000000"/>
            <w:tcW w:w="2268" w:type="dxa"/>
          </w:tcPr>
          <w:p w14:paraId="00000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cnfStyle w:val="010100000000"/>
            <w:tcW w:w="1701" w:type="dxa"/>
            <w:shd w:val="clear" w:color="auto" w:fill="auto"/>
          </w:tcPr>
          <w:p w14:paraId="00000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</w:p>
        </w:tc>
      </w:tr>
    </w:tbl>
    <w:p w14:paraId="00000111">
      <w:pPr>
        <w:spacing w:after="0" w:line="276" w:lineRule="auto"/>
        <w:rPr>
          <w:rFonts w:ascii="Times New Roman" w:cs="Times New Roman" w:eastAsia="Calibri" w:hAnsi="Times New Roman"/>
          <w:b/>
          <w:bCs/>
          <w:sz w:val="26"/>
          <w:szCs w:val="26"/>
        </w:rPr>
      </w:pPr>
    </w:p>
    <w:p w14:paraId="00000112">
      <w:pPr>
        <w:spacing w:after="0" w:line="240" w:lineRule="auto"/>
        <w:jc w:val="center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cs="Times New Roman" w:eastAsia="Calibri" w:hAnsi="Times New Roman"/>
          <w:bCs/>
          <w:sz w:val="26"/>
          <w:szCs w:val="26"/>
        </w:rPr>
        <w:t>:</w:t>
      </w:r>
    </w:p>
    <w:p w14:paraId="00000113">
      <w:pPr>
        <w:spacing w:after="0" w:line="240" w:lineRule="auto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00000114">
      <w:pPr>
        <w:spacing w:after="0" w:line="240" w:lineRule="auto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0000115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00000116">
      <w:pPr>
        <w:rPr>
          <w:rFonts w:ascii="Times New Roman" w:cs="Times New Roman" w:eastAsia="Times New Roman" w:hAnsi="Times New Roman"/>
          <w:sz w:val="26"/>
          <w:szCs w:val="26"/>
          <w:lang w:eastAsia="ru-RU"/>
        </w:rPr>
        <w:sectPr>
          <w:pgSz w:w="16838" w:h="11906" w:orient="landscape"/>
          <w:pgMar w:top="851" w:right="1134" w:bottom="1701" w:left="1134" w:header="709" w:footer="709" w:gutter="0"/>
          <w:cols w:space="708"/>
        </w:sectPr>
      </w:pPr>
      <w:r>
        <w:rPr>
          <w:rFonts w:ascii="Times New Roman" w:cs="Times New Roman" w:eastAsia="Calibri" w:hAnsi="Times New Roman"/>
          <w:bCs/>
          <w:sz w:val="26"/>
          <w:szCs w:val="26"/>
        </w:rPr>
        <w:br w:type="page"/>
      </w:r>
    </w:p>
    <w:p w14:paraId="00000117">
      <w:pPr>
        <w:keepNext w:val="on"/>
        <w:numPr>
          <w:ilvl w:val="0"/>
          <w:numId w:val="2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center"/>
        <w:rPr>
          <w:rFonts w:ascii="Times New Roman" w:cs="Times New Roman" w:eastAsia="Times New Roman" w:hAnsi="Times New Roman"/>
          <w:b/>
          <w:cap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caps/>
          <w:sz w:val="26"/>
          <w:szCs w:val="26"/>
          <w:lang w:eastAsia="ru-RU"/>
        </w:rPr>
        <w:t>условия реализации УЧЕБНОЙ дисциплины</w:t>
      </w:r>
    </w:p>
    <w:p w14:paraId="00000118">
      <w:pPr>
        <w:tabs>
          <w:tab w:val="left" w:pos="-142"/>
        </w:tabs>
        <w:spacing w:after="0" w:line="240" w:lineRule="auto"/>
        <w:ind w:firstLine="567"/>
        <w:contextualSpacing w:val="on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119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0000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14:paraId="00000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/>
          <w:bCs/>
          <w:i/>
          <w:sz w:val="26"/>
          <w:szCs w:val="26"/>
        </w:rPr>
      </w:pPr>
    </w:p>
    <w:p w14:paraId="000001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/>
          <w:sz w:val="26"/>
          <w:szCs w:val="26"/>
        </w:rPr>
        <w:t>Оборудование учебного кабинета:</w:t>
      </w:r>
    </w:p>
    <w:p w14:paraId="0000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>- посадочные места по количеству обучающихся;</w:t>
      </w:r>
    </w:p>
    <w:p w14:paraId="00000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>- рабочее место преподавателя;</w:t>
      </w:r>
    </w:p>
    <w:p w14:paraId="00000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 xml:space="preserve">- комплект учебно-наглядных пособий </w:t>
      </w:r>
    </w:p>
    <w:p w14:paraId="0000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/>
          <w:bCs/>
          <w:i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/>
          <w:sz w:val="26"/>
          <w:szCs w:val="26"/>
        </w:rPr>
        <w:t>Технические средства обучения:</w:t>
      </w:r>
    </w:p>
    <w:p w14:paraId="00000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00000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>- интерактивная доска.</w:t>
      </w:r>
    </w:p>
    <w:p w14:paraId="00000123">
      <w:pPr>
        <w:spacing w:after="0" w:line="240" w:lineRule="auto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00000124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00000125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14:paraId="00000126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</w:p>
    <w:p w14:paraId="00000127">
      <w:pPr>
        <w:keepNext w:val="on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00000128">
      <w:pPr>
        <w:shd w:val="clear" w:color="auto" w:fill="ffffff"/>
        <w:tabs>
          <w:tab w:val="left" w:pos="-142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/>
          <w:color w:val="0000ff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14:paraId="00000129">
      <w:pPr>
        <w:numPr>
          <w:ilvl w:val="0"/>
          <w:numId w:val="3"/>
        </w:numPr>
        <w:tabs>
          <w:tab w:val="left" w:pos="-142"/>
        </w:tabs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Половкова, М. В. Индивидуальный проект. Шаг в профессию. Базовый уровень.: Учебник для СПО / Половкова М.В., Носов А.В., Половкова Т.В. - М.:Просвещение, 2024. - 189 с.: ISBN 978-5-09-113724-8. - Текст : электронный. - URL: </w: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lang w:eastAsia="ru-RU"/>
        </w:rPr>
        <w:fldChar w:fldCharType="begin"/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lang w:eastAsia="ru-RU"/>
        </w:rPr>
        <w:instrText xml:space="preserve">HYPERLINK "https://znanium.ru/catalog/product/2157714" </w:instrText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lang w:eastAsia="ru-RU"/>
        </w:rPr>
        <w:fldChar w:fldCharType="separate"/>
      </w:r>
      <w:r>
        <w:rPr>
          <w:rFonts w:ascii="Times New Roman" w:cs="Times New Roman" w:eastAsia="Times New Roman" w:hAnsi="Times New Roman"/>
          <w:color w:val="0000ff"/>
          <w:sz w:val="26"/>
          <w:szCs w:val="26"/>
          <w:u w:val="single"/>
          <w:lang w:eastAsia="ru-RU"/>
        </w:rPr>
        <w:t>https://znanium.ru/catalog/product/2157714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fldChar w:fldCharType="end"/>
      </w:r>
    </w:p>
    <w:p w14:paraId="0000012A">
      <w:pPr>
        <w:numPr>
          <w:ilvl w:val="0"/>
          <w:numId w:val="3"/>
        </w:numPr>
        <w:tabs>
          <w:tab w:val="left" w:pos="-142"/>
        </w:tabs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Шестернинов, Е. Е. Индивидуальный проект. Шаг в профессию. Базовый уровень. Практикум 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 / Е. Е. Шестернинов. — Москва : Просвещение, 2024. — 80 с. — (Учебник СПО). — ISBN 978-5-09-110840-8. - Текст : электронный. - URL: https://znanium.ru/catalog/product/2157229</w:t>
      </w:r>
    </w:p>
    <w:p w14:paraId="0000012B">
      <w:pPr>
        <w:tabs>
          <w:tab w:val="left" w:pos="-142"/>
        </w:tabs>
        <w:spacing w:after="0" w:line="240" w:lineRule="auto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sz w:val="26"/>
          <w:szCs w:val="26"/>
        </w:rPr>
        <w:t>Дополнительные источники:</w:t>
      </w:r>
    </w:p>
    <w:p w14:paraId="0000012C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Афанасьев, В.В. Основы учебно-исследовательской деятельности : учебное пособие для среднего профессионального образования / В. В. Афанасьев, О. В. Грибкова, Л. И. Уколова. — Москва: Издательство Юрайт, 2023.</w:t>
      </w:r>
    </w:p>
    <w:p w14:paraId="0000012D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Кунилова О.В. Индивидуальный проект. Проектно-исследовательская деятельность: учебное пособие/ О.В. Кунилова. — М: Русайнс, 2022.</w:t>
      </w:r>
    </w:p>
    <w:p w14:paraId="0000012E">
      <w:pPr>
        <w:tabs>
          <w:tab w:val="left" w:pos="-142"/>
        </w:tabs>
        <w:spacing w:after="0" w:line="240" w:lineRule="auto"/>
        <w:ind w:firstLine="567"/>
        <w:contextualSpacing w:val="on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Интернет-ресурсы:</w:t>
      </w:r>
    </w:p>
    <w:p w14:paraId="0000012F">
      <w:pPr>
        <w:tabs>
          <w:tab w:val="left" w:pos="-142"/>
        </w:tabs>
        <w:spacing w:after="0" w:line="240" w:lineRule="auto"/>
        <w:contextualSpacing w:val="on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сайт  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instrText xml:space="preserve">HYPERLINK "http://znanium.com/"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http://znanium.com/</w:t>
      </w:r>
      <w:r>
        <w:rPr>
          <w:rFonts w:ascii="Times New Roman" w:cs="Times New Roman" w:eastAsia="Calibri" w:hAnsi="Times New Roman"/>
          <w:sz w:val="26"/>
          <w:szCs w:val="26"/>
        </w:rPr>
        <w:fldChar w:fldCharType="end"/>
      </w:r>
    </w:p>
    <w:p w14:paraId="00000130">
      <w:pPr>
        <w:tabs>
          <w:tab w:val="left" w:pos="-142"/>
        </w:tabs>
        <w:spacing w:after="0" w:line="240" w:lineRule="auto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instrText xml:space="preserve">HYPERLINK "https://www.sites.google.com/site/kniznaapolkavmk/sergeev-i-s-kak-organizovat-proektnuu-deatelnost-ucasihsa"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https://www.sites.google.com/site/kniznaapolkavmk/sergeev-i-s-kak-organizovat-proektnuu-deatelnost-ucasihsa</w:t>
      </w:r>
      <w:r>
        <w:rPr>
          <w:rFonts w:ascii="Times New Roman" w:cs="Times New Roman" w:eastAsia="Calibri" w:hAnsi="Times New Roman"/>
          <w:sz w:val="26"/>
          <w:szCs w:val="26"/>
        </w:rPr>
        <w:fldChar w:fldCharType="end"/>
      </w:r>
    </w:p>
    <w:p w14:paraId="00000131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14:paraId="00000132">
      <w:pPr>
        <w:tabs>
          <w:tab w:val="left" w:pos="-142"/>
        </w:tabs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00000133">
      <w:pPr>
        <w:tabs>
          <w:tab w:val="left" w:pos="-142"/>
        </w:tabs>
        <w:spacing w:after="0" w:line="240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ресурсов</w:t>
      </w:r>
    </w:p>
    <w:p w14:paraId="00000134">
      <w:pPr>
        <w:tabs>
          <w:tab w:val="left" w:pos="-142"/>
        </w:tabs>
        <w:spacing w:after="0" w:line="240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0000135">
      <w:pPr>
        <w:tabs>
          <w:tab w:val="left" w:pos="-142"/>
        </w:tabs>
        <w:spacing w:after="0" w:line="240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ресурсов</w:t>
      </w:r>
    </w:p>
    <w:p w14:paraId="00000136">
      <w:pPr>
        <w:tabs>
          <w:tab w:val="left" w:pos="-142"/>
        </w:tabs>
        <w:spacing w:after="0" w:line="240" w:lineRule="auto"/>
        <w:ind w:firstLine="567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Сервисы и инструменты:</w:t>
      </w:r>
    </w:p>
    <w:p w14:paraId="00000137">
      <w:pPr>
        <w:tabs>
          <w:tab w:val="left" w:pos="-142"/>
        </w:tabs>
        <w:spacing w:after="0" w:line="240" w:lineRule="auto"/>
        <w:ind w:left="567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1. 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Skype</w:t>
      </w:r>
      <w:r>
        <w:rPr>
          <w:rFonts w:ascii="Times New Roman" w:cs="Times New Roman" w:eastAsia="Calibri" w:hAnsi="Times New Roman"/>
          <w:sz w:val="26"/>
          <w:szCs w:val="26"/>
        </w:rPr>
        <w:t xml:space="preserve"> (режим доступа: 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https</w:t>
      </w:r>
      <w:r>
        <w:rPr>
          <w:rFonts w:ascii="Times New Roman" w:cs="Times New Roman" w:eastAsia="Calibri" w:hAnsi="Times New Roman"/>
          <w:sz w:val="26"/>
          <w:szCs w:val="26"/>
        </w:rPr>
        <w:t>://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www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skype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com</w:t>
      </w:r>
      <w:r>
        <w:rPr>
          <w:rFonts w:ascii="Times New Roman" w:cs="Times New Roman" w:eastAsia="Calibri" w:hAnsi="Times New Roman"/>
          <w:sz w:val="26"/>
          <w:szCs w:val="26"/>
        </w:rPr>
        <w:t>/)</w:t>
      </w:r>
    </w:p>
    <w:p w14:paraId="00000138">
      <w:pPr>
        <w:tabs>
          <w:tab w:val="left" w:pos="360"/>
        </w:tabs>
        <w:spacing w:after="0" w:line="254" w:lineRule="exact"/>
        <w:ind w:left="567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2. Сферум (режим доступа: 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instrText xml:space="preserve">HYPERLINK "https://sferum.ru/"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https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://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sferum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.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ru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/</w:t>
      </w:r>
      <w:r>
        <w:rPr>
          <w:rFonts w:ascii="Times New Roman" w:cs="Times New Roman" w:eastAsia="Calibri" w:hAnsi="Times New Roman"/>
          <w:sz w:val="26"/>
          <w:szCs w:val="26"/>
        </w:rPr>
        <w:fldChar w:fldCharType="end"/>
      </w:r>
      <w:r>
        <w:rPr>
          <w:rFonts w:ascii="Times New Roman" w:cs="Times New Roman" w:eastAsia="Calibri" w:hAnsi="Times New Roman"/>
          <w:sz w:val="26"/>
          <w:szCs w:val="26"/>
        </w:rPr>
        <w:t>)</w:t>
      </w:r>
    </w:p>
    <w:p w14:paraId="00000139">
      <w:pPr>
        <w:tabs>
          <w:tab w:val="left" w:pos="360"/>
        </w:tabs>
        <w:spacing w:after="0" w:line="254" w:lineRule="exact"/>
        <w:ind w:left="567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3. 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instrText xml:space="preserve">HYPERLINK "https://dick.yandex.ru/"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https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://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dick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.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yandex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.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ru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/</w:t>
      </w:r>
      <w:r>
        <w:rPr>
          <w:rFonts w:ascii="Times New Roman" w:cs="Times New Roman" w:eastAsia="Calibri" w:hAnsi="Times New Roman"/>
          <w:sz w:val="26"/>
          <w:szCs w:val="26"/>
        </w:rPr>
        <w:fldChar w:fldCharType="end"/>
      </w:r>
    </w:p>
    <w:p w14:paraId="0000013A">
      <w:pPr>
        <w:tabs>
          <w:tab w:val="left" w:pos="360"/>
        </w:tabs>
        <w:spacing w:after="0" w:line="254" w:lineRule="exact"/>
        <w:ind w:left="567"/>
        <w:rPr>
          <w:rFonts w:ascii="Times New Roman" w:cs="Times New Roman" w:eastAsia="Calibri" w:hAnsi="Times New Roman"/>
          <w:sz w:val="26"/>
          <w:szCs w:val="26"/>
        </w:rPr>
      </w:pPr>
    </w:p>
    <w:p w14:paraId="0000013B">
      <w:pPr>
        <w:keepNext w:val="on"/>
        <w:numPr>
          <w:ilvl w:val="0"/>
          <w:numId w:val="2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Times New Roman" w:hAnsi="Times New Roman"/>
          <w:b/>
          <w:bCs/>
          <w:cap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caps/>
          <w:sz w:val="26"/>
          <w:szCs w:val="26"/>
          <w:lang w:eastAsia="ru-RU"/>
        </w:rPr>
        <w:t>Контроль и оценка результатов освоения Дисциплины</w:t>
      </w:r>
    </w:p>
    <w:p w14:paraId="0000013C">
      <w:pPr>
        <w:keepNext w:val="on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 w:val="on"/>
        <w:jc w:val="center"/>
        <w:rPr>
          <w:rFonts w:ascii="Times New Roman" w:cs="Times New Roman" w:eastAsia="Times New Roman" w:hAnsi="Times New Roman"/>
          <w:b/>
          <w:bCs/>
          <w:caps/>
          <w:sz w:val="26"/>
          <w:szCs w:val="26"/>
          <w:lang w:eastAsia="ru-RU"/>
        </w:rPr>
      </w:pPr>
    </w:p>
    <w:p w14:paraId="0000013D">
      <w:pPr>
        <w:keepNext w:val="on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Контроль и оценка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5387"/>
        <w:gridCol w:w="4395"/>
      </w:tblGrid>
      <w:tr>
        <w:trPr>
          <w:trHeight w:val="781"/>
        </w:trPr>
        <w:tc>
          <w:tcPr>
            <w:cnfStyle w:val="1010000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cnfStyle w:val="1001000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trHeight w:val="1224"/>
        </w:trPr>
        <w:tc>
          <w:tcPr>
            <w:cnfStyle w:val="0010001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41">
            <w:pPr>
              <w:widowControl w:val="off"/>
              <w:tabs>
                <w:tab w:val="num" w:pos="248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14:paraId="00000142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выдвигать новые идеи, предлагать оригинальные подходы и решения;</w:t>
            </w:r>
          </w:p>
          <w:p w14:paraId="00000143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способность их использования в познавательной и социальной практике</w:t>
            </w:r>
          </w:p>
          <w:p w14:paraId="00000144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14:paraId="00000145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14:paraId="00000146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готовность к саморазвитию, самостоятельности и самоопределению;</w:t>
            </w:r>
          </w:p>
          <w:p w14:paraId="00000147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      </w:r>
          </w:p>
          <w:p w14:paraId="00000148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сотрудничать для их достижения;</w:t>
            </w:r>
          </w:p>
          <w:p w14:paraId="00000149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0000014A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владеть языковыми средствами - умением ясно, логично и точно излагать свою точку зрения, использовать адекватные языковые средства</w:t>
            </w:r>
          </w:p>
        </w:tc>
        <w:tc>
          <w:tcPr>
            <w:cnfStyle w:val="0001001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/>
        <w:tc>
          <w:tcPr>
            <w:cnfStyle w:val="00100001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4D">
            <w:pPr>
              <w:widowControl w:val="off"/>
              <w:tabs>
                <w:tab w:val="num" w:pos="248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14:paraId="0000014E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- выявлять причинно-следственные связи и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0000014F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00000150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переносить знания в познавательную и практическую области жизнедеятельности;</w:t>
            </w:r>
          </w:p>
          <w:p w14:paraId="00000151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-овладение навыками учебно-исследовательской, проектной и социальной деятельности;</w:t>
            </w:r>
          </w:p>
          <w:p w14:paraId="00000152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</w:t>
            </w:r>
          </w:p>
          <w:p w14:paraId="00000153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00000154">
            <w:pPr>
              <w:widowControl w:val="off"/>
              <w:spacing w:after="0" w:line="240" w:lineRule="auto"/>
              <w:ind w:left="360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      </w:r>
          </w:p>
        </w:tc>
        <w:tc>
          <w:tcPr>
            <w:cnfStyle w:val="00010001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/>
        <w:tc>
          <w:tcPr>
            <w:cnfStyle w:val="0010001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57">
            <w:pPr>
              <w:widowControl w:val="off"/>
              <w:tabs>
                <w:tab w:val="num" w:pos="248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cs="Times New Roman" w:eastAsia="Calibri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14:paraId="00000158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знать основы проектной деятельности с привлечением различных источников;</w:t>
            </w:r>
          </w:p>
          <w:p w14:paraId="00000159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использовать информационные и компьютерные технологии для обработки и представления научной информации;</w:t>
            </w:r>
          </w:p>
          <w:p w14:paraId="0000015A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применять компьютерные средства представления и анализа данных;</w:t>
            </w:r>
          </w:p>
          <w:p w14:paraId="0000015B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пользоваться современными техническими устройствами информационными программами для оформления исследовательских работ;</w:t>
            </w:r>
          </w:p>
          <w:p w14:paraId="0000015C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</w:t>
            </w:r>
          </w:p>
          <w:p w14:paraId="0000015D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- анализировать и конспектировать научную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литературу</w:t>
            </w:r>
          </w:p>
          <w:p w14:paraId="0000015E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знать условия для развития навыков учебной, проектно-исследовательской, творческой деятельности;</w:t>
            </w:r>
          </w:p>
          <w:p w14:paraId="0000015F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формулировать тему исследовательской работы, доказывать её актуальность;</w:t>
            </w:r>
          </w:p>
          <w:p w14:paraId="00000160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      </w:r>
          </w:p>
          <w:p w14:paraId="00000161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использовать основные методы работы с текстовыми документами, структурирования и обработки научной информации;</w:t>
            </w:r>
          </w:p>
          <w:p w14:paraId="00000162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знать и уметь применять требования и приемы подготовки научно-исследовательских работ к защите, методов их реализации;</w:t>
            </w:r>
          </w:p>
          <w:p w14:paraId="00000163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владеть навыками оформления научно-исследовательских работу.</w:t>
            </w:r>
          </w:p>
          <w:p w14:paraId="00000164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анализировать текст с точки зрения наличия в нем явной и скрытой, основной и второстепенной информации;</w:t>
            </w:r>
          </w:p>
          <w:p w14:paraId="00000165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анализировать, оценивать, проверять на достоверность и обобщать научную информацию;</w:t>
            </w:r>
          </w:p>
          <w:p w14:paraId="00000166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форматировать текстовые и графические документы согласно требованиям ЕСКД;</w:t>
            </w:r>
          </w:p>
          <w:p w14:paraId="000001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      </w:r>
          </w:p>
        </w:tc>
        <w:tc>
          <w:tcPr>
            <w:cnfStyle w:val="0001001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>
        <w:trPr/>
        <w:tc>
          <w:tcPr>
            <w:cnfStyle w:val="001000010000"/>
            <w:tcW w:w="9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6A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Общие компетенции:</w:t>
            </w:r>
          </w:p>
        </w:tc>
      </w:tr>
      <w:tr>
        <w:trPr/>
        <w:tc>
          <w:tcPr>
            <w:cnfStyle w:val="0010001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6B">
            <w:pPr>
              <w:spacing w:after="0" w:line="240" w:lineRule="auto"/>
              <w:ind w:right="-144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  <w:p w14:paraId="0000016C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Andale Sans UI" w:hAnsi="Times New Roman"/>
                <w:sz w:val="26"/>
                <w:szCs w:val="26"/>
                <w:lang w:bidi="fa-IR" w:eastAsia="ja-JP"/>
              </w:rPr>
            </w:pPr>
          </w:p>
        </w:tc>
        <w:tc>
          <w:tcPr>
            <w:cnfStyle w:val="0001001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6D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Оценка за:</w:t>
            </w:r>
          </w:p>
          <w:p w14:paraId="0000016E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000016F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00000170">
            <w:pPr>
              <w:spacing w:after="0" w:line="240" w:lineRule="auto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оформление рефератов.</w:t>
            </w:r>
          </w:p>
        </w:tc>
      </w:tr>
      <w:tr>
        <w:trPr/>
        <w:tc>
          <w:tcPr>
            <w:cnfStyle w:val="00100001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71">
            <w:pPr>
              <w:shd w:val="clear" w:color="auto" w:fill="ffffff"/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cnfStyle w:val="00010001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72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Оценка за:</w:t>
            </w:r>
          </w:p>
          <w:p w14:paraId="00000173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>
        <w:trPr/>
        <w:tc>
          <w:tcPr>
            <w:cnfStyle w:val="0010001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cnfStyle w:val="0001001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75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Оценка за:</w:t>
            </w:r>
          </w:p>
          <w:p w14:paraId="00000176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0000177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>
        <w:trPr/>
        <w:tc>
          <w:tcPr>
            <w:cnfStyle w:val="00100001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78">
            <w:pPr>
              <w:shd w:val="clear" w:color="auto" w:fill="ffff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00000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</w:p>
        </w:tc>
        <w:tc>
          <w:tcPr>
            <w:cnfStyle w:val="00010001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7A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Оценка за:</w:t>
            </w:r>
          </w:p>
          <w:p w14:paraId="0000017B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000017C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>
        <w:trPr>
          <w:trHeight w:val="463"/>
        </w:trPr>
        <w:tc>
          <w:tcPr>
            <w:cnfStyle w:val="0010001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7D">
            <w:pPr>
              <w:spacing w:after="200" w:line="276" w:lineRule="auto"/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1001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7E">
            <w:pPr>
              <w:spacing w:after="200" w:line="276" w:lineRule="auto"/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>
          <w:trHeight w:val="463"/>
        </w:trPr>
        <w:tc>
          <w:tcPr>
            <w:cnfStyle w:val="00100001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7F">
            <w:pPr>
              <w:widowControl w:val="off"/>
              <w:spacing w:after="0" w:line="276" w:lineRule="auto"/>
              <w:jc w:val="both"/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</w:pPr>
            <w:r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  <w:t>ЛР</w:t>
            </w:r>
            <w:r>
              <w:rPr>
                <w:rFonts w:ascii="Times New Roman" w:cs="Times New Roman" w:eastAsia="Andale Sans UI" w:hAnsi="Times New Roman"/>
                <w:b/>
                <w:spacing w:val="-3"/>
                <w:sz w:val="26"/>
                <w:szCs w:val="26"/>
                <w:lang w:val="de-DE" w:bidi="fa-IR" w:eastAsia="ja-JP"/>
              </w:rPr>
              <w:t xml:space="preserve"> </w:t>
            </w:r>
            <w:r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  <w:t>3</w:t>
            </w:r>
            <w:r>
              <w:rPr>
                <w:rFonts w:ascii="Times New Roman" w:cs="Times New Roman" w:eastAsia="Andale Sans UI" w:hAnsi="Times New Roman"/>
                <w:sz w:val="26"/>
                <w:szCs w:val="26"/>
                <w:lang w:bidi="fa-IR" w:eastAsia="ja-JP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  <w:t xml:space="preserve"> </w:t>
            </w:r>
          </w:p>
        </w:tc>
        <w:tc>
          <w:tcPr>
            <w:cnfStyle w:val="00010001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0">
            <w:pPr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>
        <w:trPr>
          <w:trHeight w:val="463"/>
        </w:trPr>
        <w:tc>
          <w:tcPr>
            <w:cnfStyle w:val="0010001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1">
            <w:pPr>
              <w:widowControl w:val="off"/>
              <w:spacing w:after="0" w:line="276" w:lineRule="auto"/>
              <w:jc w:val="both"/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</w:pPr>
            <w:r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  <w:t>ЛР</w:t>
            </w:r>
            <w:r>
              <w:rPr>
                <w:rFonts w:ascii="Times New Roman" w:cs="Times New Roman" w:eastAsia="Andale Sans UI" w:hAnsi="Times New Roman"/>
                <w:b/>
                <w:spacing w:val="-3"/>
                <w:sz w:val="26"/>
                <w:szCs w:val="26"/>
                <w:lang w:val="de-DE" w:bidi="fa-IR" w:eastAsia="ja-JP"/>
              </w:rPr>
              <w:t xml:space="preserve"> </w:t>
            </w:r>
            <w:r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  <w:t>5</w:t>
            </w:r>
            <w:r>
              <w:rPr>
                <w:rFonts w:ascii="Times New Roman" w:cs="Times New Roman" w:eastAsia="Andale Sans UI" w:hAnsi="Times New Roman"/>
                <w:sz w:val="26"/>
                <w:szCs w:val="26"/>
                <w:lang w:bidi="fa-IR" w:eastAsia="ja-JP"/>
              </w:rPr>
              <w:t xml:space="preserve"> Занимающий активную гражданскую позицию избирателя, волонтера, общественного деятеля.</w:t>
            </w:r>
            <w:r>
              <w:rPr>
                <w:rFonts w:ascii="Times New Roman" w:cs="Times New Roman" w:eastAsia="Andale Sans UI" w:hAnsi="Times New Roman"/>
                <w:b/>
                <w:sz w:val="26"/>
                <w:szCs w:val="26"/>
                <w:lang w:val="de-DE" w:bidi="fa-IR" w:eastAsia="ja-JP"/>
              </w:rPr>
              <w:t xml:space="preserve"> </w:t>
            </w:r>
          </w:p>
        </w:tc>
        <w:tc>
          <w:tcPr>
            <w:cnfStyle w:val="0001001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2">
            <w:pPr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>-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Проявление</w:t>
            </w:r>
            <w:r>
              <w:rPr>
                <w:rFonts w:ascii="Times New Roman" w:cs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высокопрофессиональной</w:t>
            </w:r>
            <w:r>
              <w:rPr>
                <w:rFonts w:ascii="Times New Roman" w:cs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трудовой</w:t>
            </w:r>
            <w:r>
              <w:rPr>
                <w:rFonts w:ascii="Times New Roman" w:cs="Times New Roman" w:eastAsia="Calibri" w:hAnsi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активности</w:t>
            </w: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 xml:space="preserve"> </w:t>
            </w:r>
          </w:p>
          <w:p w14:paraId="00000183">
            <w:pPr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14:paraId="00000184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>-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Участие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конкурсах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профессионального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мастерства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командных</w:t>
            </w:r>
            <w:r>
              <w:rPr>
                <w:rFonts w:ascii="Times New Roman" w:cs="Times New Roman" w:eastAsia="Calibri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проектах.</w:t>
            </w:r>
          </w:p>
          <w:p w14:paraId="00000185">
            <w:pPr>
              <w:spacing w:after="0" w:line="240" w:lineRule="auto"/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</w:pPr>
          </w:p>
        </w:tc>
      </w:tr>
      <w:tr>
        <w:trPr>
          <w:trHeight w:val="463"/>
        </w:trPr>
        <w:tc>
          <w:tcPr>
            <w:cnfStyle w:val="00100001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6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</w:rPr>
              <w:t>ЛР</w:t>
            </w:r>
            <w:r>
              <w:rPr>
                <w:rFonts w:ascii="Times New Roman" w:cs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</w:rPr>
              <w:t>8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cnfStyle w:val="00010001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 Проявление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культуры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потребления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информации,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умений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навыков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пользования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компьютерной,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навыков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отбора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критического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анализа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информации,</w:t>
            </w:r>
            <w:r>
              <w:rPr>
                <w:rFonts w:ascii="Times New Roman" w:cs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умения</w:t>
            </w:r>
            <w:r>
              <w:rPr>
                <w:rFonts w:ascii="Times New Roman" w:cs="Times New Roman" w:eastAsia="Times New Roman" w:hAnsi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ориентироваться</w:t>
            </w:r>
            <w:r>
              <w:rPr>
                <w:rFonts w:ascii="Times New Roman" w:cs="Times New Roman" w:eastAsia="Times New Roman" w:hAnsi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информационном</w:t>
            </w:r>
            <w:r>
              <w:rPr>
                <w:rFonts w:ascii="Times New Roman" w:cs="Times New Roman" w:eastAsia="Times New Roman" w:hAnsi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пространстве.</w:t>
            </w:r>
          </w:p>
          <w:p w14:paraId="00000188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- Участие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конкурсах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профессионального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мастерства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командных</w:t>
            </w:r>
            <w:r>
              <w:rPr>
                <w:rFonts w:ascii="Times New Roman" w:cs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проектах.</w:t>
            </w:r>
          </w:p>
          <w:p w14:paraId="00000189">
            <w:pPr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>
        <w:trPr>
          <w:trHeight w:val="463"/>
        </w:trPr>
        <w:tc>
          <w:tcPr>
            <w:cnfStyle w:val="011000000000"/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</w:rPr>
              <w:t>ЛР</w:t>
            </w:r>
            <w:r>
              <w:rPr>
                <w:rFonts w:ascii="Times New Roman" w:cs="Times New Roman" w:eastAsia="Times New Roman" w:hAnsi="Times New Roman"/>
                <w:b/>
                <w:spacing w:val="-3"/>
                <w:sz w:val="26"/>
                <w:szCs w:val="26"/>
              </w:rPr>
              <w:t xml:space="preserve"> 12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</w:rPr>
              <w:t>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cnfStyle w:val="010100000000"/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8B">
            <w:pPr>
              <w:spacing w:after="0" w:line="240" w:lineRule="auto"/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14:paraId="0000018C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0">
      <w:start w:val="1"/>
      <w:numFmt w:val="decimal"/>
      <w:isLgl w:val="on"/>
      <w:lvlText w:val="%1.%2."/>
      <w:lvlJc w:val="left"/>
      <w:pPr>
        <w:ind w:left="704" w:hanging="4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004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004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364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1364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172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1724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multiLevelType w:val="hybridMultilevel"/>
    <w:lvl w:ilvl="0" w:tentative="0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